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45AC0A2D" w:rsidR="00CE5DD3" w:rsidRPr="00535268" w:rsidRDefault="009874C6" w:rsidP="00CE5DD3">
            <w:pPr>
              <w:jc w:val="center"/>
              <w:rPr>
                <w:bCs/>
                <w:color w:val="000000" w:themeColor="text1"/>
                <w:sz w:val="32"/>
                <w:szCs w:val="32"/>
              </w:rPr>
            </w:pPr>
            <w:bookmarkStart w:id="0" w:name="Titre_Libel"/>
            <w:r>
              <w:rPr>
                <w:bCs/>
                <w:color w:val="000000" w:themeColor="text1"/>
                <w:sz w:val="32"/>
                <w:szCs w:val="32"/>
              </w:rPr>
              <w:t>Technicien d’équipement et d’exploitation en électricité</w:t>
            </w:r>
            <w:bookmarkEnd w:id="0"/>
          </w:p>
          <w:p w14:paraId="3EC53816" w14:textId="729E6CE1"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A868F1">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5F6BDA7" w:rsidR="003E5D1B" w:rsidRPr="00477AC1" w:rsidRDefault="009874C6"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23/02/2023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3350897" w:rsidR="003E5D1B" w:rsidRPr="00944192" w:rsidRDefault="009874C6"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07/03/2023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37138BB2" w:rsidR="00477AC1" w:rsidRPr="00944192" w:rsidRDefault="009874C6"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08/05/2023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10119C99" w:rsidR="00CE5DD3" w:rsidRPr="00AA788A" w:rsidRDefault="009874C6"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4D6339">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E87838">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E87838">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4D6339">
        <w:rPr>
          <w:noProof/>
          <w:color w:val="FFFFFF" w:themeColor="background1"/>
          <w:sz w:val="16"/>
          <w:szCs w:val="16"/>
        </w:rPr>
        <w:t>https://espace.afpa.fr/sites/sip/GesDTE/DTE/B-T3Em08/T3E_ECF_TP-00266m08_LE.docm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09D5D6FB" w:rsidR="00CE5DD3" w:rsidRPr="00AA788A" w:rsidRDefault="009874C6" w:rsidP="00CE5DD3">
      <w:pPr>
        <w:rPr>
          <w:noProof/>
          <w:color w:val="FFFFFF" w:themeColor="background1"/>
          <w:sz w:val="16"/>
          <w:szCs w:val="16"/>
        </w:rPr>
      </w:pPr>
      <w:bookmarkStart w:id="16" w:name="DTE_Historique"/>
      <w:r>
        <w:rPr>
          <w:noProof/>
          <w:color w:val="FFFFFF" w:themeColor="background1"/>
          <w:sz w:val="16"/>
          <w:szCs w:val="16"/>
        </w:rPr>
        <w:t>Modele du 05/01/23 14:42 , MODELE_ECF_LE.docm#Zapart Nathalie,G,09/03/23 10:37 , MODELE_ECF_LE.docm#Zapart Nathalie,R,09/03/23 10:39#Zapart Nathalie,ALADM,09/03/23 10:39#Zapart Nathalie,RADM,09/03/23 10:54#Zapart Nathalie,PDF,09/03/23 10:54#</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12674135" w:rsidR="00310738" w:rsidRPr="00C56E31" w:rsidRDefault="00D428F5" w:rsidP="00980EE6">
            <w:pPr>
              <w:rPr>
                <w:b/>
                <w:color w:val="404040" w:themeColor="text1" w:themeTint="BF"/>
                <w:sz w:val="28"/>
                <w:szCs w:val="28"/>
              </w:rPr>
            </w:pPr>
            <w:bookmarkStart w:id="17" w:name="IntAct11"/>
            <w:r>
              <w:rPr>
                <w:rStyle w:val="Textedelespacerserv"/>
                <w:b/>
                <w:color w:val="404040" w:themeColor="text1" w:themeTint="BF"/>
                <w:sz w:val="28"/>
                <w:szCs w:val="28"/>
              </w:rPr>
              <w:t>Procéder à l'équipement d'une installation électrique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2EB7CF2" w14:textId="77777777" w:rsidR="00D428F5" w:rsidRDefault="00D428F5" w:rsidP="00917C6D">
            <w:pPr>
              <w:pStyle w:val="Listenumrote"/>
              <w:numPr>
                <w:ilvl w:val="0"/>
                <w:numId w:val="0"/>
              </w:numPr>
              <w:spacing w:after="0"/>
              <w:ind w:right="176"/>
              <w:rPr>
                <w:b w:val="0"/>
              </w:rPr>
            </w:pPr>
            <w:bookmarkStart w:id="18" w:name="IntC11"/>
            <w:r>
              <w:rPr>
                <w:b w:val="0"/>
              </w:rPr>
              <w:t>1. Equiper un bâtiment de ses réseaux d'énergie et de ses équipements en courants forts</w:t>
            </w:r>
          </w:p>
          <w:p w14:paraId="6A33A2AC" w14:textId="77777777" w:rsidR="00D428F5" w:rsidRDefault="00D428F5" w:rsidP="00917C6D">
            <w:pPr>
              <w:pStyle w:val="Listenumrote"/>
              <w:numPr>
                <w:ilvl w:val="0"/>
                <w:numId w:val="0"/>
              </w:numPr>
              <w:spacing w:after="0"/>
              <w:ind w:right="176"/>
              <w:rPr>
                <w:b w:val="0"/>
              </w:rPr>
            </w:pPr>
            <w:r>
              <w:rPr>
                <w:b w:val="0"/>
              </w:rPr>
              <w:t>2. Equiper un bâtiment de ses réseaux de communication et de ses équipements en courants faibles</w:t>
            </w:r>
          </w:p>
          <w:p w14:paraId="2629706A" w14:textId="77777777" w:rsidR="00D428F5" w:rsidRDefault="00D428F5" w:rsidP="00917C6D">
            <w:pPr>
              <w:pStyle w:val="Listenumrote"/>
              <w:numPr>
                <w:ilvl w:val="0"/>
                <w:numId w:val="0"/>
              </w:numPr>
              <w:spacing w:after="0"/>
              <w:ind w:right="176"/>
              <w:rPr>
                <w:b w:val="0"/>
              </w:rPr>
            </w:pPr>
            <w:r>
              <w:rPr>
                <w:b w:val="0"/>
              </w:rPr>
              <w:t>3. Equiper un bâtiment de solutions en matière d’efficacité énergétique</w:t>
            </w:r>
          </w:p>
          <w:p w14:paraId="567D6612" w14:textId="77777777" w:rsidR="00D428F5" w:rsidRDefault="00D428F5" w:rsidP="00917C6D">
            <w:pPr>
              <w:pStyle w:val="Listenumrote"/>
              <w:numPr>
                <w:ilvl w:val="0"/>
                <w:numId w:val="0"/>
              </w:numPr>
              <w:spacing w:after="0"/>
              <w:ind w:right="176"/>
              <w:rPr>
                <w:b w:val="0"/>
              </w:rPr>
            </w:pPr>
            <w:r>
              <w:rPr>
                <w:b w:val="0"/>
              </w:rPr>
              <w:t>4. Equiper un système de contrôle-commande industriel</w:t>
            </w:r>
          </w:p>
          <w:bookmarkEnd w:id="18"/>
          <w:p w14:paraId="3EC5385E" w14:textId="1ECA6B26"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3A7839"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3A7839"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3A7839"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3A7839"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74A994A8" w:rsidR="00D074D9" w:rsidRPr="00C56E31" w:rsidRDefault="00D428F5" w:rsidP="00734737">
            <w:pPr>
              <w:rPr>
                <w:b/>
                <w:color w:val="404040" w:themeColor="text1" w:themeTint="BF"/>
                <w:sz w:val="28"/>
                <w:szCs w:val="28"/>
              </w:rPr>
            </w:pPr>
            <w:bookmarkStart w:id="19" w:name="IntAct21"/>
            <w:r>
              <w:rPr>
                <w:rStyle w:val="Textedelespacerserv"/>
                <w:b/>
                <w:color w:val="404040" w:themeColor="text1" w:themeTint="BF"/>
                <w:sz w:val="28"/>
                <w:szCs w:val="28"/>
              </w:rPr>
              <w:t>Procéder aux autocontrôles, à la mise en service, aux contrôles qualité et à la maintenance d'une installation électrique</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C10DD5B" w14:textId="77777777" w:rsidR="00D428F5" w:rsidRDefault="00D428F5" w:rsidP="00B424B8">
            <w:pPr>
              <w:pStyle w:val="Listenumrote"/>
              <w:numPr>
                <w:ilvl w:val="0"/>
                <w:numId w:val="0"/>
              </w:numPr>
              <w:spacing w:after="0"/>
              <w:ind w:right="176"/>
              <w:rPr>
                <w:b w:val="0"/>
              </w:rPr>
            </w:pPr>
            <w:bookmarkStart w:id="20" w:name="IntC21"/>
            <w:r>
              <w:rPr>
                <w:b w:val="0"/>
              </w:rPr>
              <w:t>1. Procéder aux autocontrôles et à la maintenance d'une installation électrique basse tension</w:t>
            </w:r>
          </w:p>
          <w:p w14:paraId="632C6840" w14:textId="77777777" w:rsidR="00D428F5" w:rsidRDefault="00D428F5" w:rsidP="00B424B8">
            <w:pPr>
              <w:pStyle w:val="Listenumrote"/>
              <w:numPr>
                <w:ilvl w:val="0"/>
                <w:numId w:val="0"/>
              </w:numPr>
              <w:spacing w:after="0"/>
              <w:ind w:right="176"/>
              <w:rPr>
                <w:b w:val="0"/>
              </w:rPr>
            </w:pPr>
            <w:r>
              <w:rPr>
                <w:b w:val="0"/>
              </w:rPr>
              <w:t>2. Procéder  à l’analyse qualité d’un réseau de distribution électrique basse tension lors d’un bilan énergétique ou de maintenance de l'installation</w:t>
            </w:r>
          </w:p>
          <w:p w14:paraId="4478C3A7" w14:textId="77777777" w:rsidR="00D428F5" w:rsidRDefault="00D428F5" w:rsidP="00B424B8">
            <w:pPr>
              <w:pStyle w:val="Listenumrote"/>
              <w:numPr>
                <w:ilvl w:val="0"/>
                <w:numId w:val="0"/>
              </w:numPr>
              <w:spacing w:after="0"/>
              <w:ind w:right="176"/>
              <w:rPr>
                <w:b w:val="0"/>
              </w:rPr>
            </w:pPr>
            <w:r>
              <w:rPr>
                <w:b w:val="0"/>
              </w:rPr>
              <w:t>3. Procéder à la mise en service et à la maintenance des équipements et des matériels électriques communicants ou connectés dans un bâtiment</w:t>
            </w:r>
          </w:p>
          <w:p w14:paraId="7EDC688B" w14:textId="77777777" w:rsidR="00D428F5" w:rsidRDefault="00D428F5" w:rsidP="00B424B8">
            <w:pPr>
              <w:pStyle w:val="Listenumrote"/>
              <w:numPr>
                <w:ilvl w:val="0"/>
                <w:numId w:val="0"/>
              </w:numPr>
              <w:spacing w:after="0"/>
              <w:ind w:right="176"/>
              <w:rPr>
                <w:b w:val="0"/>
              </w:rPr>
            </w:pPr>
            <w:r>
              <w:rPr>
                <w:b w:val="0"/>
              </w:rPr>
              <w:t>4. Procéder à la mise en service et à la maintenance d'un système de contrôle-commande industriel</w:t>
            </w:r>
          </w:p>
          <w:bookmarkEnd w:id="20"/>
          <w:p w14:paraId="3EC53985" w14:textId="67F6B721"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3A783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3A783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3A783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3A783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4C684EBB" w:rsidR="00D074D9" w:rsidRPr="00D178F8" w:rsidRDefault="00D428F5"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Déterminer les matériels électriques lors de modification ou d'optimisation d'une installation électrique</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73D44D5" w14:textId="77777777" w:rsidR="00D428F5" w:rsidRDefault="00D428F5" w:rsidP="00B424B8">
            <w:pPr>
              <w:pStyle w:val="Listenumrote"/>
              <w:numPr>
                <w:ilvl w:val="0"/>
                <w:numId w:val="0"/>
              </w:numPr>
              <w:spacing w:after="0"/>
              <w:ind w:right="176"/>
              <w:rPr>
                <w:b w:val="0"/>
              </w:rPr>
            </w:pPr>
            <w:bookmarkStart w:id="22" w:name="IntC31"/>
            <w:r>
              <w:rPr>
                <w:b w:val="0"/>
              </w:rPr>
              <w:t>1. Déterminer les matériels électriques lors de modification ou de mise à niveau d’une installation électrique d'un immeuble collectif d'habitation</w:t>
            </w:r>
          </w:p>
          <w:p w14:paraId="6BF2A911" w14:textId="77777777" w:rsidR="00D428F5" w:rsidRDefault="00D428F5" w:rsidP="00B424B8">
            <w:pPr>
              <w:pStyle w:val="Listenumrote"/>
              <w:numPr>
                <w:ilvl w:val="0"/>
                <w:numId w:val="0"/>
              </w:numPr>
              <w:spacing w:after="0"/>
              <w:ind w:right="176"/>
              <w:rPr>
                <w:b w:val="0"/>
              </w:rPr>
            </w:pPr>
            <w:r>
              <w:rPr>
                <w:b w:val="0"/>
              </w:rPr>
              <w:t>2. Déterminer les matériels électriques lors de modification ou de mise à niveau d’une installation électrique d'un local professionnel</w:t>
            </w:r>
          </w:p>
          <w:p w14:paraId="3B42A5AD" w14:textId="77777777" w:rsidR="00D428F5" w:rsidRDefault="00D428F5" w:rsidP="00B424B8">
            <w:pPr>
              <w:pStyle w:val="Listenumrote"/>
              <w:numPr>
                <w:ilvl w:val="0"/>
                <w:numId w:val="0"/>
              </w:numPr>
              <w:spacing w:after="0"/>
              <w:ind w:right="176"/>
              <w:rPr>
                <w:b w:val="0"/>
              </w:rPr>
            </w:pPr>
            <w:r>
              <w:rPr>
                <w:b w:val="0"/>
              </w:rPr>
              <w:t>3. Déterminer les matériels électriques lors de la mise à niveau d’une installation électrique d'un bâtiment en matière d’efficacité énergétique</w:t>
            </w:r>
          </w:p>
          <w:p w14:paraId="689B5ECB" w14:textId="77777777" w:rsidR="00D428F5" w:rsidRDefault="00D428F5" w:rsidP="00B424B8">
            <w:pPr>
              <w:pStyle w:val="Listenumrote"/>
              <w:numPr>
                <w:ilvl w:val="0"/>
                <w:numId w:val="0"/>
              </w:numPr>
              <w:spacing w:after="0"/>
              <w:ind w:right="176"/>
              <w:rPr>
                <w:b w:val="0"/>
              </w:rPr>
            </w:pPr>
            <w:r>
              <w:rPr>
                <w:b w:val="0"/>
              </w:rPr>
              <w:t>4. Déterminer les matériels électriques lors de modification ou de mise à niveau d'un système de  contrôle-commande industriel</w:t>
            </w:r>
          </w:p>
          <w:bookmarkEnd w:id="22"/>
          <w:p w14:paraId="3EC53AAC" w14:textId="0F7DCFD9"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3A783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3A783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3A783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3A783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F1664DA" w:rsidR="00CB604F" w:rsidRPr="00607838" w:rsidRDefault="00D428F5" w:rsidP="00CB604F">
                <w:pPr>
                  <w:jc w:val="center"/>
                  <w:rPr>
                    <w:b/>
                    <w:color w:val="404040" w:themeColor="text1" w:themeTint="BF"/>
                    <w:sz w:val="20"/>
                    <w:szCs w:val="20"/>
                  </w:rPr>
                </w:pPr>
                <w:r>
                  <w:rPr>
                    <w:b/>
                    <w:color w:val="404040" w:themeColor="text1" w:themeTint="BF"/>
                    <w:sz w:val="20"/>
                    <w:szCs w:val="20"/>
                  </w:rPr>
                  <w:t>Procéder à l'équipement d'une installation électrique</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47FB8F1" w14:textId="77777777" w:rsidR="00D428F5" w:rsidRDefault="00D428F5" w:rsidP="00CB604F">
                <w:pPr>
                  <w:rPr>
                    <w:color w:val="404040" w:themeColor="text1" w:themeTint="BF"/>
                    <w:sz w:val="20"/>
                    <w:szCs w:val="20"/>
                  </w:rPr>
                </w:pPr>
                <w:r>
                  <w:rPr>
                    <w:color w:val="404040" w:themeColor="text1" w:themeTint="BF"/>
                    <w:sz w:val="20"/>
                    <w:szCs w:val="20"/>
                  </w:rPr>
                  <w:t>1. Equiper un bâtiment de ses réseaux d'énergie et de ses équipements en courants forts</w:t>
                </w:r>
              </w:p>
              <w:p w14:paraId="65204C86" w14:textId="77777777" w:rsidR="00D428F5" w:rsidRDefault="00D428F5" w:rsidP="00CB604F">
                <w:pPr>
                  <w:rPr>
                    <w:color w:val="404040" w:themeColor="text1" w:themeTint="BF"/>
                    <w:sz w:val="20"/>
                    <w:szCs w:val="20"/>
                  </w:rPr>
                </w:pPr>
                <w:r>
                  <w:rPr>
                    <w:color w:val="404040" w:themeColor="text1" w:themeTint="BF"/>
                    <w:sz w:val="20"/>
                    <w:szCs w:val="20"/>
                  </w:rPr>
                  <w:t>2. Equiper un bâtiment de ses réseaux de communication et de ses équipements en courants faibles</w:t>
                </w:r>
              </w:p>
              <w:p w14:paraId="3F3C0424" w14:textId="77777777" w:rsidR="00D428F5" w:rsidRDefault="00D428F5" w:rsidP="00CB604F">
                <w:pPr>
                  <w:rPr>
                    <w:color w:val="404040" w:themeColor="text1" w:themeTint="BF"/>
                    <w:sz w:val="20"/>
                    <w:szCs w:val="20"/>
                  </w:rPr>
                </w:pPr>
                <w:r>
                  <w:rPr>
                    <w:color w:val="404040" w:themeColor="text1" w:themeTint="BF"/>
                    <w:sz w:val="20"/>
                    <w:szCs w:val="20"/>
                  </w:rPr>
                  <w:t>3. Equiper un bâtiment de solutions en matière d’efficacité énergétique</w:t>
                </w:r>
              </w:p>
              <w:p w14:paraId="19005D0F" w14:textId="77777777" w:rsidR="00D428F5" w:rsidRDefault="00D428F5" w:rsidP="00CB604F">
                <w:pPr>
                  <w:rPr>
                    <w:color w:val="404040" w:themeColor="text1" w:themeTint="BF"/>
                    <w:sz w:val="20"/>
                    <w:szCs w:val="20"/>
                  </w:rPr>
                </w:pPr>
                <w:r>
                  <w:rPr>
                    <w:color w:val="404040" w:themeColor="text1" w:themeTint="BF"/>
                    <w:sz w:val="20"/>
                    <w:szCs w:val="20"/>
                  </w:rPr>
                  <w:t>4. Equiper un système de contrôle-commande industriel</w:t>
                </w:r>
              </w:p>
              <w:p w14:paraId="61E03C1A" w14:textId="7C77BFA7"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A339ABB" w:rsidR="00CB604F" w:rsidRPr="00607838" w:rsidRDefault="00D428F5" w:rsidP="00CB604F">
                <w:pPr>
                  <w:jc w:val="center"/>
                  <w:rPr>
                    <w:b/>
                    <w:color w:val="404040" w:themeColor="text1" w:themeTint="BF"/>
                    <w:sz w:val="20"/>
                    <w:szCs w:val="20"/>
                  </w:rPr>
                </w:pPr>
                <w:r>
                  <w:rPr>
                    <w:b/>
                    <w:color w:val="404040" w:themeColor="text1" w:themeTint="BF"/>
                    <w:sz w:val="20"/>
                    <w:szCs w:val="20"/>
                  </w:rPr>
                  <w:t>Procéder aux autocontrôles, à la mise en service, aux contrôles qualité et à la maintenance d'une installation électrique</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1F7FF875" w14:textId="77777777" w:rsidR="00D428F5" w:rsidRDefault="00D428F5" w:rsidP="00CB604F">
                <w:pPr>
                  <w:rPr>
                    <w:color w:val="404040" w:themeColor="text1" w:themeTint="BF"/>
                    <w:sz w:val="20"/>
                    <w:szCs w:val="20"/>
                  </w:rPr>
                </w:pPr>
                <w:r>
                  <w:rPr>
                    <w:color w:val="404040" w:themeColor="text1" w:themeTint="BF"/>
                    <w:sz w:val="20"/>
                    <w:szCs w:val="20"/>
                  </w:rPr>
                  <w:t>1. Procéder aux autocontrôles et à la maintenance d'une installation électrique basse tension</w:t>
                </w:r>
              </w:p>
              <w:p w14:paraId="315620C7" w14:textId="77777777" w:rsidR="00D428F5" w:rsidRDefault="00D428F5" w:rsidP="00CB604F">
                <w:pPr>
                  <w:rPr>
                    <w:color w:val="404040" w:themeColor="text1" w:themeTint="BF"/>
                    <w:sz w:val="20"/>
                    <w:szCs w:val="20"/>
                  </w:rPr>
                </w:pPr>
                <w:r>
                  <w:rPr>
                    <w:color w:val="404040" w:themeColor="text1" w:themeTint="BF"/>
                    <w:sz w:val="20"/>
                    <w:szCs w:val="20"/>
                  </w:rPr>
                  <w:t>2. Procéder  à l’analyse qualité d’un réseau de distribution électrique basse tension lors d’un bilan énergétique ou de maintenance de l'installation</w:t>
                </w:r>
              </w:p>
              <w:p w14:paraId="5F06FCC3" w14:textId="77777777" w:rsidR="00D428F5" w:rsidRDefault="00D428F5" w:rsidP="00CB604F">
                <w:pPr>
                  <w:rPr>
                    <w:color w:val="404040" w:themeColor="text1" w:themeTint="BF"/>
                    <w:sz w:val="20"/>
                    <w:szCs w:val="20"/>
                  </w:rPr>
                </w:pPr>
                <w:r>
                  <w:rPr>
                    <w:color w:val="404040" w:themeColor="text1" w:themeTint="BF"/>
                    <w:sz w:val="20"/>
                    <w:szCs w:val="20"/>
                  </w:rPr>
                  <w:t>3. Procéder à la mise en service et à la maintenance des équipements et des matériels électriques communicants ou connectés dans un bâtiment</w:t>
                </w:r>
              </w:p>
              <w:p w14:paraId="012D44AE" w14:textId="77777777" w:rsidR="00D428F5" w:rsidRDefault="00D428F5" w:rsidP="00CB604F">
                <w:pPr>
                  <w:rPr>
                    <w:color w:val="404040" w:themeColor="text1" w:themeTint="BF"/>
                    <w:sz w:val="20"/>
                    <w:szCs w:val="20"/>
                  </w:rPr>
                </w:pPr>
                <w:r>
                  <w:rPr>
                    <w:color w:val="404040" w:themeColor="text1" w:themeTint="BF"/>
                    <w:sz w:val="20"/>
                    <w:szCs w:val="20"/>
                  </w:rPr>
                  <w:t>4. Procéder à la mise en service et à la maintenance d'un système de contrôle-commande industriel</w:t>
                </w:r>
              </w:p>
              <w:p w14:paraId="383FBC14" w14:textId="2A1BA247" w:rsidR="00CB604F" w:rsidRDefault="003A7839"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7B562D9A" w:rsidR="00CB604F" w:rsidRPr="00607838" w:rsidRDefault="00D428F5" w:rsidP="00CB604F">
                <w:pPr>
                  <w:jc w:val="center"/>
                  <w:rPr>
                    <w:b/>
                    <w:color w:val="404040" w:themeColor="text1" w:themeTint="BF"/>
                    <w:sz w:val="20"/>
                    <w:szCs w:val="20"/>
                  </w:rPr>
                </w:pPr>
                <w:r>
                  <w:rPr>
                    <w:b/>
                    <w:color w:val="404040" w:themeColor="text1" w:themeTint="BF"/>
                    <w:sz w:val="20"/>
                    <w:szCs w:val="20"/>
                  </w:rPr>
                  <w:t>Déterminer les matériels électriques lors de modification ou d'optimisation d'une installation électrique</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C60BA48" w14:textId="77777777" w:rsidR="00D428F5" w:rsidRDefault="00D428F5" w:rsidP="00957140">
            <w:pPr>
              <w:rPr>
                <w:color w:val="404040" w:themeColor="text1" w:themeTint="BF"/>
                <w:sz w:val="20"/>
                <w:szCs w:val="20"/>
              </w:rPr>
            </w:pPr>
            <w:bookmarkStart w:id="30" w:name="IntC32"/>
            <w:r>
              <w:rPr>
                <w:color w:val="404040" w:themeColor="text1" w:themeTint="BF"/>
                <w:sz w:val="20"/>
                <w:szCs w:val="20"/>
              </w:rPr>
              <w:t>1. Déterminer les matériels électriques lors de modification ou de mise à niveau d’une installation électrique d'un immeuble collectif d'habitation</w:t>
            </w:r>
          </w:p>
          <w:p w14:paraId="13B2592B" w14:textId="77777777" w:rsidR="00D428F5" w:rsidRDefault="00D428F5" w:rsidP="00957140">
            <w:pPr>
              <w:rPr>
                <w:color w:val="404040" w:themeColor="text1" w:themeTint="BF"/>
                <w:sz w:val="20"/>
                <w:szCs w:val="20"/>
              </w:rPr>
            </w:pPr>
            <w:r>
              <w:rPr>
                <w:color w:val="404040" w:themeColor="text1" w:themeTint="BF"/>
                <w:sz w:val="20"/>
                <w:szCs w:val="20"/>
              </w:rPr>
              <w:t>2. Déterminer les matériels électriques lors de modification ou de mise à niveau d’une installation électrique d'un local professionnel</w:t>
            </w:r>
          </w:p>
          <w:p w14:paraId="553100DF" w14:textId="77777777" w:rsidR="00D428F5" w:rsidRDefault="00D428F5" w:rsidP="00957140">
            <w:pPr>
              <w:rPr>
                <w:color w:val="404040" w:themeColor="text1" w:themeTint="BF"/>
                <w:sz w:val="20"/>
                <w:szCs w:val="20"/>
              </w:rPr>
            </w:pPr>
            <w:r>
              <w:rPr>
                <w:color w:val="404040" w:themeColor="text1" w:themeTint="BF"/>
                <w:sz w:val="20"/>
                <w:szCs w:val="20"/>
              </w:rPr>
              <w:t>3. Déterminer les matériels électriques lors de la mise à niveau d’une installation électrique d'un bâtiment en matière d’efficacité énergétique</w:t>
            </w:r>
          </w:p>
          <w:p w14:paraId="729776C8" w14:textId="77777777" w:rsidR="00D428F5" w:rsidRDefault="00D428F5" w:rsidP="00957140">
            <w:pPr>
              <w:rPr>
                <w:color w:val="404040" w:themeColor="text1" w:themeTint="BF"/>
                <w:sz w:val="20"/>
                <w:szCs w:val="20"/>
              </w:rPr>
            </w:pPr>
            <w:r>
              <w:rPr>
                <w:color w:val="404040" w:themeColor="text1" w:themeTint="BF"/>
                <w:sz w:val="20"/>
                <w:szCs w:val="20"/>
              </w:rPr>
              <w:t>4. Déterminer les matériels électriques lors de modification ou de mise à niveau d'un système de  contrôle-commande industriel</w:t>
            </w:r>
          </w:p>
          <w:bookmarkEnd w:id="30"/>
          <w:p w14:paraId="36ED0EC5" w14:textId="68A73B36"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1" w:name="sommaire4"/>
      <w:bookmarkEnd w:id="31"/>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E5E4D0E" w:rsidR="00C56E31" w:rsidRPr="0037256B" w:rsidRDefault="00A868F1"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T3E</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7FA2EEE1" w:rsidR="00C56E31" w:rsidRPr="0037256B" w:rsidRDefault="00A868F1"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TP-00266</w:t>
          </w:r>
          <w:bookmarkEnd w:id="6"/>
        </w:p>
      </w:tc>
      <w:tc>
        <w:tcPr>
          <w:tcW w:w="838" w:type="dxa"/>
          <w:vAlign w:val="center"/>
        </w:tcPr>
        <w:p w14:paraId="3EC53ED4" w14:textId="6EEB9EE7" w:rsidR="00C56E31" w:rsidRPr="0037256B" w:rsidRDefault="00A868F1"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08</w:t>
          </w:r>
          <w:bookmarkEnd w:id="7"/>
        </w:p>
      </w:tc>
      <w:tc>
        <w:tcPr>
          <w:tcW w:w="1701" w:type="dxa"/>
          <w:vAlign w:val="center"/>
        </w:tcPr>
        <w:p w14:paraId="3EC53ED5" w14:textId="7A6809BC" w:rsidR="00C56E31" w:rsidRPr="0037256B" w:rsidRDefault="009874C6"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07/03/2023</w:t>
          </w:r>
          <w:bookmarkEnd w:id="8"/>
        </w:p>
      </w:tc>
      <w:tc>
        <w:tcPr>
          <w:tcW w:w="1560" w:type="dxa"/>
          <w:vAlign w:val="center"/>
        </w:tcPr>
        <w:p w14:paraId="3EC53ED6" w14:textId="7C0A0BB1"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9874C6">
            <w:rPr>
              <w:rFonts w:ascii="Arial Narrow" w:hAnsi="Arial Narrow" w:cs="Arial"/>
              <w:noProof/>
              <w:color w:val="595959" w:themeColor="text1" w:themeTint="A6"/>
              <w:sz w:val="18"/>
              <w:szCs w:val="18"/>
            </w:rPr>
            <w:t>09/03/2023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0787"/>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D633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20CB"/>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830CD"/>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C41B4"/>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874C6"/>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868F1"/>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0583F"/>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28F5"/>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87838"/>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F6E5E94-70E6-496A-A4CC-21CDD2AB7EA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2505</Words>
  <Characters>11375</Characters>
  <Application>Microsoft Office Word</Application>
  <DocSecurity>0</DocSecurity>
  <Lines>1137</Lines>
  <Paragraphs>771</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2023-03-09T09:54:00Z</dcterms:created>
  <dcterms:modified xsi:type="dcterms:W3CDTF">2023-03-09T09:54:00Z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